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0B" w:rsidRPr="004D55A6" w:rsidRDefault="00B5721B" w:rsidP="004D55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773D0B" w:rsidRPr="004D55A6" w:rsidRDefault="0019710B" w:rsidP="004D55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</w:p>
    <w:p w:rsidR="00773D0B" w:rsidRPr="004D55A6" w:rsidRDefault="00773D0B" w:rsidP="004D55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</w:p>
    <w:p w:rsidR="0019710B" w:rsidRPr="00F34BFC" w:rsidRDefault="00773D0B" w:rsidP="004D55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Челябинской области</w:t>
      </w:r>
    </w:p>
    <w:p w:rsidR="00F34BFC" w:rsidRPr="002D56A0" w:rsidRDefault="00F34BFC" w:rsidP="004D55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4BFC" w:rsidRPr="00F34BFC" w:rsidRDefault="00F34BFC" w:rsidP="004D55A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________________ № _____</w:t>
      </w: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7325C" w:rsidRPr="00C7325C" w:rsidRDefault="0019710B" w:rsidP="00C73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  <w:r w:rsidR="00F9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ОНЦЕПЦИЯ</w:t>
      </w:r>
      <w:r w:rsidR="00C7325C" w:rsidRPr="00C732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5C0F4A" w:rsidRDefault="0019710B" w:rsidP="00C73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информационной политики  </w:t>
      </w:r>
      <w:r w:rsidRPr="004D55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773D0B" w:rsidRPr="004D55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Законодательного Собрания Челябинской </w:t>
      </w:r>
      <w:r w:rsidR="009E12B3" w:rsidRPr="004D55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области</w:t>
      </w:r>
    </w:p>
    <w:p w:rsidR="004D55A6" w:rsidRDefault="004D55A6" w:rsidP="00C732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55A6" w:rsidRPr="004D55A6" w:rsidRDefault="004D55A6" w:rsidP="004D55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9710B" w:rsidRDefault="004D55A6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Pr="004D55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I.  </w:t>
      </w:r>
      <w:r w:rsidR="00410F64" w:rsidRPr="00410F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4D55A6" w:rsidRPr="004D55A6" w:rsidRDefault="004D55A6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Концепция информационной политики </w:t>
      </w:r>
      <w:r w:rsidR="005C0F4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Челябинской области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Концепция)</w:t>
      </w:r>
      <w:r w:rsidR="005C0F4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принципы,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 </w:t>
      </w:r>
      <w:r w:rsidR="00C52828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задачи</w:t>
      </w:r>
      <w:r w:rsidR="00773D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информационной политики </w:t>
      </w:r>
      <w:r w:rsidR="00793BB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</w:t>
      </w:r>
      <w:r w:rsidR="002C40A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Челябинской области (далее – Законодательное Собрание), а также механизмы е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Деятельность по реализации Концепции осуществляется в соответствии с законодательством Российской Федерации, Уставом </w:t>
      </w:r>
      <w:r w:rsidR="00C7325C">
        <w:rPr>
          <w:rFonts w:ascii="Times New Roman" w:eastAsia="Times New Roman" w:hAnsi="Times New Roman" w:cs="Times New Roman"/>
          <w:sz w:val="26"/>
          <w:szCs w:val="26"/>
          <w:lang w:eastAsia="ru-RU"/>
        </w:rPr>
        <w:t>(Основным З</w:t>
      </w:r>
      <w:r w:rsidR="00C77252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аконом) Челябинской области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иными нормативными правовыми актами Челябинской области. </w:t>
      </w: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Концепции используются следующие основные понятия:</w:t>
      </w:r>
    </w:p>
    <w:p w:rsidR="0019710B" w:rsidRDefault="0019710B" w:rsidP="009043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информационная политика </w:t>
      </w:r>
      <w:r w:rsidR="00C77252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информационная политика) – деятельность </w:t>
      </w:r>
      <w:r w:rsidR="00C77252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обеспечению гражданам, организациям, общественным объединениям, органам государственной власти</w:t>
      </w:r>
      <w:r w:rsidR="009A3941" w:rsidRP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органам государственной власти субъектов Российской Федерации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органам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самоуправления доступа к информации о деятельности </w:t>
      </w:r>
      <w:r w:rsidR="00C77252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34BFC" w:rsidRPr="004D55A6" w:rsidRDefault="00F34BFC" w:rsidP="00F34B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пользователь информацией – гражданин (физическое лицо), организация (юридическое лицо), общественное объединение, </w:t>
      </w:r>
      <w:r w:rsidR="00C5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органы государственной власти 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Федерации, органы государственной власти субъектов Российской Федерации </w:t>
      </w:r>
      <w:r w:rsidR="00C5282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самоуправления, осуществляющие поиск информации 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деятельности Законодательного Собрания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4D55A6" w:rsidRDefault="009043AE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) субъекты информационной политики –</w:t>
      </w:r>
      <w:r w:rsidR="00C31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2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депутаты </w:t>
      </w:r>
      <w:r w:rsidR="009D175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</w:t>
      </w:r>
      <w:r w:rsidR="00C52828">
        <w:rPr>
          <w:rFonts w:ascii="Times New Roman" w:eastAsia="Times New Roman" w:hAnsi="Times New Roman" w:cs="Times New Roman"/>
          <w:sz w:val="26"/>
          <w:szCs w:val="26"/>
          <w:lang w:eastAsia="ru-RU"/>
        </w:rPr>
        <w:t>го  Собрания,</w:t>
      </w:r>
      <w:r w:rsidR="009D17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Законодательного Собрания по информационной политике, </w:t>
      </w:r>
      <w:r w:rsidR="00AE33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управление информационной политики аппарата Законодательного Собрания, редакция газеты «Парламентская неделя. Газета Законодательного Собрания Челябинской области», </w:t>
      </w:r>
      <w:r w:rsidR="007A283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редакционный совет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Законодательного Собрания Челябинской области</w:t>
      </w:r>
      <w:r w:rsidR="007A2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изданию 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печатного средства массовой информации </w:t>
      </w:r>
      <w:r w:rsidR="007A2838">
        <w:rPr>
          <w:rFonts w:ascii="Times New Roman" w:eastAsia="Times New Roman" w:hAnsi="Times New Roman" w:cs="Times New Roman"/>
          <w:sz w:val="26"/>
          <w:szCs w:val="26"/>
          <w:lang w:eastAsia="ru-RU"/>
        </w:rPr>
        <w:t>«Парламентская неделя. Газета Законодательного Собрания Челябинской области»</w:t>
      </w:r>
      <w:r w:rsidR="006A0F3B">
        <w:rPr>
          <w:rFonts w:ascii="Times New Roman" w:eastAsia="Times New Roman" w:hAnsi="Times New Roman" w:cs="Times New Roman"/>
          <w:sz w:val="26"/>
          <w:szCs w:val="26"/>
          <w:lang w:eastAsia="ru-RU"/>
        </w:rPr>
        <w:t>, Э</w:t>
      </w:r>
      <w:r w:rsidR="00410F64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кспертный с</w:t>
      </w:r>
      <w:r w:rsidR="007A2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 при Законодательном Собрании Челябинской области по вопросам деятельности средств массовой информации,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представители </w:t>
      </w:r>
      <w:r w:rsidR="000272A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массовой информации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обеспечивающие гражданам, организациям, общественным объединениям, органам государственной власти</w:t>
      </w:r>
      <w:r w:rsidR="009A3941" w:rsidRP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органам государственной власти субъектов Российской Федерации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органам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самоуправления доступ к информации о деятельности </w:t>
      </w:r>
      <w:r w:rsidR="00B46400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F5D29" w:rsidRDefault="00410F64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информация о деятельности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информация, созданная в пределах своих полномочий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</w:t>
      </w:r>
      <w:r w:rsidR="00E41E72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Собрани</w:t>
      </w:r>
      <w:r w:rsidR="00E41E72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1A400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нормативные и иные правовые акты,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3941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>ающ</w:t>
      </w:r>
      <w:r w:rsidR="009A3941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 в 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Законодательное Собрание информация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55A6" w:rsidRDefault="004D55A6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0B" w:rsidRDefault="004D55A6" w:rsidP="004D55A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Глава II. </w:t>
      </w:r>
      <w:r w:rsidR="009A39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ПРИНЦИПЫ ИНФОРМАЦИОННОЙ ПОЛИТИКИ</w:t>
      </w:r>
    </w:p>
    <w:p w:rsidR="004D55A6" w:rsidRPr="004D55A6" w:rsidRDefault="004D55A6" w:rsidP="004D55A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0B" w:rsidRPr="004D55A6" w:rsidRDefault="004D55A6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. Информационная политика основывается на следующих принципах:</w:t>
      </w: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открытость – обеспечение пользователям информацией доступа к любой достоверной информации о деятельности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исключением случаев, если указанная информация отнесена </w:t>
      </w:r>
      <w:r w:rsidR="00074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установленном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</w:t>
      </w:r>
      <w:r w:rsidR="000272A1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дательством Российской Федерации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порядке к сведениям, составляющим государственную </w:t>
      </w:r>
      <w:r w:rsidR="000272A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тайну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72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272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иной информации, доступ к которой ограничен законодательством Российской Федерации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доступность – обеспечение пользователям информацией доступа к информации о деятельности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размещенной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272A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средствах массовой информации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, в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специально отведенных помещениях в здании Законодательного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</w:t>
      </w:r>
      <w:r w:rsidR="000740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в том числе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посредством присутствия на заседаниях и других мероприятиях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3) достоверность – обеспечение пользователям информацией доступа к надежной, точной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фактической информации о деятельности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55A6" w:rsidRPr="004D55A6" w:rsidRDefault="0019710B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системность – регулярное и своевременное обеспечение пользователям информацией доступа к информации о деятельности </w:t>
      </w:r>
      <w:r w:rsidR="000E1FCA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4D55A6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Default="004D55A6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социальная ориентированность – информирование максимального количества граждан о деятельности Законодательного Собрания, оказание </w:t>
      </w:r>
      <w:r w:rsidR="002E66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консультативной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помощи </w:t>
      </w:r>
      <w:r w:rsidR="002E66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гражданам 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решении социальных </w:t>
      </w:r>
      <w:r w:rsidR="002E66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</w:t>
      </w:r>
      <w:r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поддержка социально значимых 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проектов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4F70" w:rsidRPr="004D55A6" w:rsidRDefault="00274F70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0B" w:rsidRPr="00274F70" w:rsidRDefault="00274F70" w:rsidP="00274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III</w:t>
      </w:r>
      <w:r w:rsidR="0019710B" w:rsidRPr="003873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F9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19710B" w:rsidRPr="003873A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</w:t>
      </w:r>
      <w:r w:rsidRPr="00274F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ЕЛ</w:t>
      </w:r>
      <w:r w:rsidR="00F9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274F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ЗАДАЧИ ИНФОРМАЦИОННОЙ ПОЛИТИКИ</w:t>
      </w:r>
    </w:p>
    <w:p w:rsidR="00274F70" w:rsidRPr="003873A2" w:rsidRDefault="00274F70" w:rsidP="00274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4C14" w:rsidRDefault="004D55A6" w:rsidP="00E41E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Целями информационной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политик</w:t>
      </w:r>
      <w:r w:rsidR="00F97DF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C4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BC4C14" w:rsidRDefault="00BC4C14" w:rsidP="00E41E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эффективного взаимодействия депутатов Законодательного Собрания с гражданами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4C14" w:rsidRDefault="00BC4C14" w:rsidP="00E41E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E41E72" w:rsidRPr="00E41E72">
        <w:rPr>
          <w:rFonts w:ascii="Times New Roman" w:eastAsia="Times New Roman" w:hAnsi="Times New Roman" w:cs="Times New Roman"/>
          <w:sz w:val="26"/>
          <w:szCs w:val="26"/>
        </w:rPr>
        <w:t>достижени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="00E41E72" w:rsidRPr="00E41E72">
        <w:rPr>
          <w:rFonts w:ascii="Times New Roman" w:eastAsia="Times New Roman" w:hAnsi="Times New Roman" w:cs="Times New Roman"/>
          <w:sz w:val="26"/>
          <w:szCs w:val="26"/>
        </w:rPr>
        <w:t xml:space="preserve"> опережающего информационного эффекта в реализации принятых </w:t>
      </w:r>
      <w:r w:rsidR="000740E9">
        <w:rPr>
          <w:rFonts w:ascii="Times New Roman" w:eastAsia="Times New Roman" w:hAnsi="Times New Roman" w:cs="Times New Roman"/>
          <w:sz w:val="26"/>
          <w:szCs w:val="26"/>
        </w:rPr>
        <w:t xml:space="preserve">Законодательным Собранием </w:t>
      </w:r>
      <w:r w:rsidR="00E41E72">
        <w:rPr>
          <w:rFonts w:ascii="Times New Roman" w:eastAsia="Times New Roman" w:hAnsi="Times New Roman" w:cs="Times New Roman"/>
          <w:sz w:val="26"/>
          <w:szCs w:val="26"/>
        </w:rPr>
        <w:t xml:space="preserve">нормативных правовых </w:t>
      </w:r>
      <w:r w:rsidR="000740E9">
        <w:rPr>
          <w:rFonts w:ascii="Times New Roman" w:eastAsia="Times New Roman" w:hAnsi="Times New Roman" w:cs="Times New Roman"/>
          <w:sz w:val="26"/>
          <w:szCs w:val="26"/>
        </w:rPr>
        <w:t xml:space="preserve">и других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правовых </w:t>
      </w:r>
      <w:r w:rsidR="000740E9">
        <w:rPr>
          <w:rFonts w:ascii="Times New Roman" w:eastAsia="Times New Roman" w:hAnsi="Times New Roman" w:cs="Times New Roman"/>
          <w:sz w:val="26"/>
          <w:szCs w:val="26"/>
        </w:rPr>
        <w:t>актов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41E72" w:rsidRPr="0095412C" w:rsidRDefault="00BC4C14" w:rsidP="00E41E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3)</w:t>
      </w:r>
      <w:r w:rsidR="00E41E72" w:rsidRPr="00E41E72">
        <w:rPr>
          <w:rFonts w:ascii="Times New Roman" w:eastAsia="Times New Roman" w:hAnsi="Times New Roman" w:cs="Times New Roman"/>
          <w:sz w:val="26"/>
          <w:szCs w:val="26"/>
        </w:rPr>
        <w:t xml:space="preserve"> формировани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="00E41E72" w:rsidRPr="00E41E72">
        <w:rPr>
          <w:rFonts w:ascii="Times New Roman" w:eastAsia="Times New Roman" w:hAnsi="Times New Roman" w:cs="Times New Roman"/>
          <w:sz w:val="26"/>
          <w:szCs w:val="26"/>
        </w:rPr>
        <w:t xml:space="preserve"> доверия </w:t>
      </w:r>
      <w:r w:rsidR="00E41E72" w:rsidRPr="004D55A6">
        <w:rPr>
          <w:rFonts w:ascii="Times New Roman" w:eastAsia="Times New Roman" w:hAnsi="Times New Roman" w:cs="Times New Roman"/>
          <w:sz w:val="26"/>
          <w:szCs w:val="26"/>
        </w:rPr>
        <w:t>граждан, организаций, общественных объединений к Законодательному Собранию как законодательному (представительному) органу государственной власти Челябинской  области</w:t>
      </w:r>
      <w:r w:rsidR="00E41E7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9710B" w:rsidRDefault="004D55A6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0B0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адачами информационной политики являются:</w:t>
      </w:r>
    </w:p>
    <w:p w:rsidR="002066B4" w:rsidRPr="004D55A6" w:rsidRDefault="002066B4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создание условий и механизмов эффективного использования информационных ресурсов по всем направлениям деятельности  Законодательного Собрания;</w:t>
      </w:r>
    </w:p>
    <w:p w:rsidR="0019710B" w:rsidRPr="004D55A6" w:rsidRDefault="002066B4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совершенствование системы информирования о деятельности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Default="002066B4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предоставление пользователям информацией </w:t>
      </w:r>
      <w:r w:rsidR="0019710B" w:rsidRPr="00BC4C1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достоверной информации о деятельности депутатов, фракций, комитетов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Собрания, рабочих групп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средствах массовой информации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официальном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Законодательного Собрания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="00BC4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специально отведенных помещениях в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здании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приемных депутатов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4D55A6" w:rsidRDefault="002066B4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4) </w:t>
      </w:r>
      <w:r w:rsidR="00BB3F2E" w:rsidRPr="00F86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форм взаимодействия Законодательного Собрания со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массовой информации</w:t>
      </w:r>
      <w:r w:rsidR="00BB3F2E" w:rsidRPr="00F86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6371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B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массовой информации</w:t>
      </w:r>
      <w:r w:rsidR="00D637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городских округов и муниципальных районов Челябинской области</w:t>
      </w:r>
      <w:r w:rsidR="00444F31" w:rsidRPr="00444F3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с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гражданами, организациями и общественными объединениями;</w:t>
      </w:r>
    </w:p>
    <w:p w:rsidR="006E2189" w:rsidRDefault="006E2189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информирование граждан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Челябинской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 о месте и роли </w:t>
      </w:r>
      <w:r w:rsidR="006E2807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="0019710B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региональном политическом процессе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Default="006E2189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формирование информационной культуры </w:t>
      </w:r>
      <w:r w:rsidR="00D6371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граждан.</w:t>
      </w:r>
    </w:p>
    <w:p w:rsidR="00BC4C14" w:rsidRDefault="00BC4C14" w:rsidP="004D55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4712" w:rsidRPr="00F036B6" w:rsidRDefault="00BA4712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eastAsia="ru-RU"/>
        </w:rPr>
      </w:pPr>
      <w:r w:rsidRPr="00F036B6"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eastAsia="ru-RU"/>
        </w:rPr>
        <w:t>Глава IV</w:t>
      </w:r>
      <w:r w:rsidR="0019710B" w:rsidRPr="00F036B6"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eastAsia="ru-RU"/>
        </w:rPr>
        <w:t xml:space="preserve">. </w:t>
      </w:r>
      <w:r w:rsidR="00BC4C14">
        <w:rPr>
          <w:rFonts w:ascii="Times New Roman" w:eastAsia="Times New Roman" w:hAnsi="Times New Roman" w:cs="Times New Roman"/>
          <w:b/>
          <w:bCs/>
          <w:spacing w:val="-20"/>
          <w:sz w:val="26"/>
          <w:szCs w:val="26"/>
          <w:lang w:eastAsia="ru-RU"/>
        </w:rPr>
        <w:t xml:space="preserve">   </w:t>
      </w:r>
      <w:r w:rsidR="002349E1" w:rsidRPr="008D58B5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eastAsia="ru-RU"/>
        </w:rPr>
        <w:t xml:space="preserve">МЕХАНИЗМЫ </w:t>
      </w:r>
      <w:r w:rsidRPr="008D58B5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eastAsia="ru-RU"/>
        </w:rPr>
        <w:t xml:space="preserve">РЕАЛИЗАЦИИ </w:t>
      </w:r>
      <w:r w:rsidR="00E45ADA" w:rsidRPr="008D58B5">
        <w:rPr>
          <w:rFonts w:ascii="Times New Roman" w:eastAsia="Times New Roman" w:hAnsi="Times New Roman" w:cs="Times New Roman"/>
          <w:b/>
          <w:bCs/>
          <w:spacing w:val="-18"/>
          <w:sz w:val="26"/>
          <w:szCs w:val="26"/>
          <w:lang w:eastAsia="ru-RU"/>
        </w:rPr>
        <w:t>ИНФОРМАЦИОННОЙ ПОЛИТИКИ</w:t>
      </w:r>
    </w:p>
    <w:p w:rsidR="00F036B6" w:rsidRPr="00F036B6" w:rsidRDefault="00F036B6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9710B" w:rsidRPr="00BA4712" w:rsidRDefault="004D55A6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Механизмы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</w:t>
      </w:r>
      <w:r w:rsidR="00E45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информационной политики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освещению деятельности </w:t>
      </w:r>
      <w:r w:rsidR="006E2807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средствах массовой информации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включают в себя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45ADA" w:rsidRPr="00BA4712" w:rsidRDefault="00E45ADA" w:rsidP="00E45A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анонсирование в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средствах массовой информации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предстоящих в Законодательном Собрании мероприятий и предоставление пресс-релизов по итогам состоявшихся мероприятий; </w:t>
      </w:r>
    </w:p>
    <w:p w:rsidR="00E45ADA" w:rsidRDefault="00E45ADA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освещение деятельности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в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средствах массовой информации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BA4712" w:rsidRDefault="00E45ADA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мониторинга публикаций в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средствах массовой информации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деятельности </w:t>
      </w:r>
      <w:r w:rsidR="006E2807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BA4712" w:rsidRDefault="00E45ADA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изучение рынка информационных услуг и заключение государственных контрактов со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массовой информации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оказание информационных услуг по освещению деятельности </w:t>
      </w:r>
      <w:r w:rsidR="006E2807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6E2189" w:rsidRPr="004D55A6" w:rsidRDefault="00E45ADA" w:rsidP="006E21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организация коммуникативных площадок </w:t>
      </w:r>
      <w:r w:rsidR="00D43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обмена мнениями 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между </w:t>
      </w:r>
      <w:r w:rsidR="00D43B1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гражданами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D43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депутатами 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</w:t>
      </w:r>
      <w:r w:rsidR="00D43B1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Собрания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(встреч,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круглых столов, 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прямых линий, публичных слушаний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E218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Pr="00BA4712" w:rsidRDefault="00BB3F2E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организация брифингов, пресс-конференций и пресс-туров </w:t>
      </w:r>
      <w:r w:rsidR="00D43B17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участием средств массовой информации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19710B" w:rsidRPr="00BA4712" w:rsidRDefault="00BB3F2E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D81926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и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конкурсов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среди </w:t>
      </w:r>
      <w:r w:rsidR="00B807E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журналистов</w:t>
      </w:r>
      <w:r w:rsidR="00D81926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использование других форм поощрения 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работников</w:t>
      </w:r>
      <w:r w:rsidR="00D43B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массовой информации</w:t>
      </w:r>
      <w:r w:rsidR="00D81926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освещающих деятельность Законодательного Собрания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B807E9" w:rsidRPr="00BA4712" w:rsidRDefault="00BB3F2E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F468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планирование, организация выпуска и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трансляци</w:t>
      </w:r>
      <w:r w:rsidR="00F4688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</w:t>
      </w:r>
      <w:r w:rsidR="00A17FA1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Законодательного Собрания «Наш парламент»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каналах областных и муниципальных организаций, осуществляющих телевещание</w:t>
      </w:r>
      <w:r w:rsidR="00B807E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50782" w:rsidRPr="00BA4712" w:rsidRDefault="00BB3F2E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807E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B5078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организационно-техническое и информаци</w:t>
      </w:r>
      <w:r w:rsidR="00F46887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онное обеспечение деятельности Э</w:t>
      </w:r>
      <w:r w:rsidR="00ED05EE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кспертного с</w:t>
      </w:r>
      <w:r w:rsidR="00B5078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</w:t>
      </w:r>
      <w:r w:rsidR="00E06C96">
        <w:rPr>
          <w:rFonts w:ascii="Times New Roman" w:eastAsia="Times New Roman" w:hAnsi="Times New Roman" w:cs="Times New Roman"/>
          <w:sz w:val="26"/>
          <w:szCs w:val="26"/>
          <w:lang w:eastAsia="ru-RU"/>
        </w:rPr>
        <w:t>а при Законодательном С</w:t>
      </w:r>
      <w:r w:rsidR="00D81926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обрании Ч</w:t>
      </w:r>
      <w:r w:rsidR="00B5078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елябинской области по вопросам деятельности </w:t>
      </w:r>
      <w:r w:rsidR="0024103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 массовой информации</w:t>
      </w:r>
      <w:r w:rsidR="00B5078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1926" w:rsidRPr="00BA4712" w:rsidRDefault="00B50782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B3F2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) планирование и о</w:t>
      </w:r>
      <w:r w:rsidR="00F46887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выпуска информационной печатной продукции </w:t>
      </w:r>
      <w:r w:rsidR="002410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деятельности Законодательного Собрания 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(буклеты, книги, </w:t>
      </w:r>
      <w:r w:rsidR="00D81926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плакаты и 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>т.д.</w:t>
      </w:r>
      <w:r w:rsidR="00D81926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1926" w:rsidRPr="00BA4712" w:rsidRDefault="00D81926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B3F2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7C2B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информационных проектов Законодательного Собрания «Просто о законе», «Закон в действии», «Парламентский урок: через прошлое к будущему!» и </w:t>
      </w:r>
      <w:r w:rsidR="009A3941">
        <w:rPr>
          <w:rFonts w:ascii="Times New Roman" w:eastAsia="Times New Roman" w:hAnsi="Times New Roman" w:cs="Times New Roman"/>
          <w:sz w:val="26"/>
          <w:szCs w:val="26"/>
          <w:lang w:eastAsia="ru-RU"/>
        </w:rPr>
        <w:t>т.д.</w:t>
      </w:r>
    </w:p>
    <w:p w:rsidR="0019710B" w:rsidRPr="00BA4712" w:rsidRDefault="004D55A6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Механизмы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информационной политики по освещению деятельности </w:t>
      </w:r>
      <w:r w:rsidR="00B807E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</w:t>
      </w:r>
      <w:r w:rsidR="00B807E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Законодательного Собрания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включают в себя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9710B" w:rsidRPr="00BA4712" w:rsidRDefault="0019710B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анонсирование предстоящих в </w:t>
      </w:r>
      <w:r w:rsidR="00B807E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Законодательном Собрании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 размещение новостных сообщений, пресс-релизов, официальных документов</w:t>
      </w:r>
      <w:r w:rsidR="00E06C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аналитических </w:t>
      </w:r>
      <w:r w:rsidR="00E06C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других 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материалов о деятельности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19710B" w:rsidRPr="00BA4712" w:rsidRDefault="005112AB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2A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онлайн-трансляция</w:t>
      </w:r>
      <w:proofErr w:type="spellEnd"/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заседаний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9D17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других мероприятий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710B" w:rsidRPr="00BA4712" w:rsidRDefault="00BA4712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49E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Механизмы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информационной политики по совершенствованию взаимодействия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гражданами, общественными объединениями и организациями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включают в себя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9710B" w:rsidRPr="00BA4712" w:rsidRDefault="0019710B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проведение встреч депутатов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учащимися об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разовательных организаций</w:t>
      </w:r>
      <w:r w:rsidR="00AE3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(парламентских уроков)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, гражданами, представителями общественных объединений и организаций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0241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 тематических выставок</w:t>
      </w:r>
      <w:r w:rsidR="00A17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02419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экскурсий в музей истории парламентаризма Челябинской области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19710B" w:rsidRPr="00BA4712" w:rsidRDefault="00AE3384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обсуждение общественно значимых проблем депутатами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Законодательного Собрания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 с гражданами, представителями общественных объединений и организаций</w:t>
      </w:r>
      <w:r w:rsidR="00F46887">
        <w:rPr>
          <w:rFonts w:ascii="Times New Roman" w:eastAsia="Times New Roman" w:hAnsi="Times New Roman" w:cs="Times New Roman"/>
          <w:sz w:val="26"/>
          <w:szCs w:val="26"/>
          <w:lang w:eastAsia="ru-RU"/>
        </w:rPr>
        <w:t>, членами Э</w:t>
      </w:r>
      <w:r w:rsidR="00E06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кспертного совета при </w:t>
      </w:r>
      <w:r w:rsidR="00E06D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Законодательном Собрании Челябинской области по вопросам деятельности средств массовой информации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710B" w:rsidRDefault="00AE3384" w:rsidP="00BA47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организация социологических исследований по изучению общественного мнения 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деятельности Законодательного Собрания 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совершенствования информационной политики </w:t>
      </w:r>
      <w:r w:rsidR="009E12B3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Законодательного Собрания</w:t>
      </w:r>
      <w:r w:rsidR="0019710B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38ED" w:rsidRDefault="001738ED" w:rsidP="00274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2419" w:rsidRDefault="00274F70" w:rsidP="00274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V</w:t>
      </w:r>
      <w:r w:rsidR="00002419" w:rsidRPr="00BA4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A17F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002419" w:rsidRPr="00BA4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444F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ИНАНС</w:t>
      </w:r>
      <w:r w:rsidR="001738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ОВОЕ ОБЕСПЕЧЕНИЕ</w:t>
      </w:r>
      <w:r w:rsidRPr="00444F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74F70" w:rsidRPr="00274F70" w:rsidRDefault="00274F70" w:rsidP="00274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02419" w:rsidRDefault="00BA4712" w:rsidP="00D621D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D977EC" w:rsidRPr="00D977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Источником финансирования </w:t>
      </w:r>
      <w:r w:rsidR="00BA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настоящей 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Концепции являются средства областного бюджета. </w:t>
      </w:r>
    </w:p>
    <w:p w:rsidR="00D621DF" w:rsidRDefault="00D621DF" w:rsidP="00D621D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384" w:rsidRDefault="00AE3384" w:rsidP="00D621DF">
      <w:pPr>
        <w:spacing w:before="100" w:beforeAutospacing="1"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VI</w:t>
      </w:r>
      <w:r w:rsidRPr="00BA47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A17F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Pr="008829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ИНФОРМАЦИОННАЯ БЕЗОПАСНОСТЬ</w:t>
      </w:r>
    </w:p>
    <w:p w:rsidR="00D621DF" w:rsidRPr="00882916" w:rsidRDefault="00D621DF" w:rsidP="00D621DF">
      <w:pPr>
        <w:spacing w:before="100" w:beforeAutospacing="1"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38ED" w:rsidRPr="009971CA" w:rsidRDefault="00AE3384" w:rsidP="00D621D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3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829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Ограничения в области информационной политики устанавливаются в отношении сведений, </w:t>
      </w:r>
      <w:r w:rsidR="001738ED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составляющи</w:t>
      </w:r>
      <w:r w:rsidR="008D58B5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1738ED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государственную 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тайну</w:t>
      </w:r>
      <w:r w:rsidR="008D58B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38ED" w:rsidRPr="004D55A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173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иной информации, доступ к которой ограничен законодательством Российской Федерации</w:t>
      </w:r>
      <w:r w:rsidR="009971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370" w:rsidRDefault="00F66370" w:rsidP="00F036B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Вопросы информационной безопасности регулируются законодательством Российской Федерации.</w:t>
      </w:r>
    </w:p>
    <w:p w:rsidR="00D621DF" w:rsidRDefault="00D621DF" w:rsidP="00F036B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9710B" w:rsidRDefault="00274F70" w:rsidP="00274F70">
      <w:pPr>
        <w:spacing w:before="100" w:beforeAutospacing="1"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VI</w:t>
      </w:r>
      <w:r w:rsidR="00AE3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</w:t>
      </w:r>
      <w:r w:rsidR="0019710B" w:rsidRPr="00BA47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9A39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ЗАКЛЮЧИТЕЛЬНЫЕ ПОЛОЖЕНИЯ</w:t>
      </w:r>
    </w:p>
    <w:p w:rsidR="00D621DF" w:rsidRPr="00BA4712" w:rsidRDefault="00D621DF" w:rsidP="00274F70">
      <w:pPr>
        <w:spacing w:before="100" w:beforeAutospacing="1" w:after="100" w:afterAutospacing="1" w:line="36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3AE" w:rsidRDefault="00BA4712" w:rsidP="00E45ADA">
      <w:pPr>
        <w:spacing w:after="0" w:line="360" w:lineRule="auto"/>
        <w:ind w:firstLine="709"/>
        <w:contextualSpacing/>
        <w:jc w:val="both"/>
      </w:pP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4688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94D7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Координация работы по реализации Концепции</w:t>
      </w:r>
      <w:r w:rsidR="00E45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4D7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контроль за ее реализацией возлага</w:t>
      </w:r>
      <w:r w:rsidR="008D58B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E94D72" w:rsidRPr="00BA4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на председателя комитета Законодательного Собрания по информационной политике. </w:t>
      </w:r>
    </w:p>
    <w:p w:rsidR="009043AE" w:rsidRDefault="009043AE"/>
    <w:sectPr w:rsidR="009043AE" w:rsidSect="002D5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5B0" w:rsidRDefault="00BA05B0" w:rsidP="002D56A0">
      <w:pPr>
        <w:spacing w:after="0" w:line="240" w:lineRule="auto"/>
      </w:pPr>
      <w:r>
        <w:separator/>
      </w:r>
    </w:p>
  </w:endnote>
  <w:endnote w:type="continuationSeparator" w:id="0">
    <w:p w:rsidR="00BA05B0" w:rsidRDefault="00BA05B0" w:rsidP="002D5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A0" w:rsidRDefault="002D56A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3501"/>
      <w:docPartObj>
        <w:docPartGallery w:val="Page Numbers (Bottom of Page)"/>
        <w:docPartUnique/>
      </w:docPartObj>
    </w:sdtPr>
    <w:sdtContent>
      <w:p w:rsidR="002D56A0" w:rsidRDefault="00643AD5">
        <w:pPr>
          <w:pStyle w:val="a7"/>
          <w:jc w:val="right"/>
        </w:pPr>
        <w:fldSimple w:instr=" PAGE   \* MERGEFORMAT ">
          <w:r w:rsidR="00C7325C">
            <w:rPr>
              <w:noProof/>
            </w:rPr>
            <w:t>2</w:t>
          </w:r>
        </w:fldSimple>
      </w:p>
    </w:sdtContent>
  </w:sdt>
  <w:p w:rsidR="002D56A0" w:rsidRDefault="002D56A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A0" w:rsidRDefault="002D56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5B0" w:rsidRDefault="00BA05B0" w:rsidP="002D56A0">
      <w:pPr>
        <w:spacing w:after="0" w:line="240" w:lineRule="auto"/>
      </w:pPr>
      <w:r>
        <w:separator/>
      </w:r>
    </w:p>
  </w:footnote>
  <w:footnote w:type="continuationSeparator" w:id="0">
    <w:p w:rsidR="00BA05B0" w:rsidRDefault="00BA05B0" w:rsidP="002D5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A0" w:rsidRDefault="002D56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A0" w:rsidRDefault="002D56A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6A0" w:rsidRDefault="002D56A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1515F"/>
    <w:multiLevelType w:val="hybridMultilevel"/>
    <w:tmpl w:val="F8C41384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10B"/>
    <w:rsid w:val="00002419"/>
    <w:rsid w:val="00017CAD"/>
    <w:rsid w:val="000272A1"/>
    <w:rsid w:val="000740E9"/>
    <w:rsid w:val="000E1FCA"/>
    <w:rsid w:val="000F78A6"/>
    <w:rsid w:val="00163913"/>
    <w:rsid w:val="00171D97"/>
    <w:rsid w:val="001738ED"/>
    <w:rsid w:val="00173DEF"/>
    <w:rsid w:val="0019710B"/>
    <w:rsid w:val="001A4000"/>
    <w:rsid w:val="001E04BE"/>
    <w:rsid w:val="002066B4"/>
    <w:rsid w:val="00221D84"/>
    <w:rsid w:val="002349E1"/>
    <w:rsid w:val="00241033"/>
    <w:rsid w:val="00242154"/>
    <w:rsid w:val="00242F9A"/>
    <w:rsid w:val="00274F70"/>
    <w:rsid w:val="002C40AE"/>
    <w:rsid w:val="002D56A0"/>
    <w:rsid w:val="002E6694"/>
    <w:rsid w:val="003873A2"/>
    <w:rsid w:val="00394EFA"/>
    <w:rsid w:val="003E6E40"/>
    <w:rsid w:val="00410F64"/>
    <w:rsid w:val="00444F31"/>
    <w:rsid w:val="00470990"/>
    <w:rsid w:val="00492A2E"/>
    <w:rsid w:val="004D55A6"/>
    <w:rsid w:val="0050158E"/>
    <w:rsid w:val="005112AB"/>
    <w:rsid w:val="005C0F15"/>
    <w:rsid w:val="005C0F4A"/>
    <w:rsid w:val="005E2B3B"/>
    <w:rsid w:val="006156D3"/>
    <w:rsid w:val="0062442B"/>
    <w:rsid w:val="0062556E"/>
    <w:rsid w:val="00641ED7"/>
    <w:rsid w:val="00643AD5"/>
    <w:rsid w:val="00674C3D"/>
    <w:rsid w:val="00697FB8"/>
    <w:rsid w:val="006A0F3B"/>
    <w:rsid w:val="006A479D"/>
    <w:rsid w:val="006E2189"/>
    <w:rsid w:val="006E2807"/>
    <w:rsid w:val="007007B5"/>
    <w:rsid w:val="0076055F"/>
    <w:rsid w:val="007720B6"/>
    <w:rsid w:val="00773D0B"/>
    <w:rsid w:val="00773D46"/>
    <w:rsid w:val="00792B59"/>
    <w:rsid w:val="00793BB6"/>
    <w:rsid w:val="007975A5"/>
    <w:rsid w:val="007A2838"/>
    <w:rsid w:val="007C2B19"/>
    <w:rsid w:val="007E72B9"/>
    <w:rsid w:val="00806C28"/>
    <w:rsid w:val="00882916"/>
    <w:rsid w:val="008C51F5"/>
    <w:rsid w:val="008D511E"/>
    <w:rsid w:val="008D58B5"/>
    <w:rsid w:val="008E00B0"/>
    <w:rsid w:val="008F08B4"/>
    <w:rsid w:val="008F5D29"/>
    <w:rsid w:val="00902FF1"/>
    <w:rsid w:val="009043AE"/>
    <w:rsid w:val="00964BE2"/>
    <w:rsid w:val="009971CA"/>
    <w:rsid w:val="009A3941"/>
    <w:rsid w:val="009D175A"/>
    <w:rsid w:val="009E12B3"/>
    <w:rsid w:val="00A17FA1"/>
    <w:rsid w:val="00A67F5E"/>
    <w:rsid w:val="00AC61A5"/>
    <w:rsid w:val="00AE3384"/>
    <w:rsid w:val="00B46400"/>
    <w:rsid w:val="00B50782"/>
    <w:rsid w:val="00B5721B"/>
    <w:rsid w:val="00B77C71"/>
    <w:rsid w:val="00B807E9"/>
    <w:rsid w:val="00BA05B0"/>
    <w:rsid w:val="00BA2054"/>
    <w:rsid w:val="00BA4712"/>
    <w:rsid w:val="00BA56D8"/>
    <w:rsid w:val="00BB3F2E"/>
    <w:rsid w:val="00BC4C14"/>
    <w:rsid w:val="00C01763"/>
    <w:rsid w:val="00C01F1B"/>
    <w:rsid w:val="00C16144"/>
    <w:rsid w:val="00C26D0B"/>
    <w:rsid w:val="00C30E56"/>
    <w:rsid w:val="00C31DE1"/>
    <w:rsid w:val="00C47524"/>
    <w:rsid w:val="00C52828"/>
    <w:rsid w:val="00C723ED"/>
    <w:rsid w:val="00C7325C"/>
    <w:rsid w:val="00C77252"/>
    <w:rsid w:val="00CE1D23"/>
    <w:rsid w:val="00D40C3C"/>
    <w:rsid w:val="00D43B17"/>
    <w:rsid w:val="00D5231F"/>
    <w:rsid w:val="00D621DF"/>
    <w:rsid w:val="00D6371D"/>
    <w:rsid w:val="00D81926"/>
    <w:rsid w:val="00D95BB0"/>
    <w:rsid w:val="00D977EC"/>
    <w:rsid w:val="00DA6934"/>
    <w:rsid w:val="00DE2A3D"/>
    <w:rsid w:val="00E06C96"/>
    <w:rsid w:val="00E06D8C"/>
    <w:rsid w:val="00E12261"/>
    <w:rsid w:val="00E21744"/>
    <w:rsid w:val="00E37C13"/>
    <w:rsid w:val="00E41E72"/>
    <w:rsid w:val="00E45ADA"/>
    <w:rsid w:val="00E77031"/>
    <w:rsid w:val="00E94D72"/>
    <w:rsid w:val="00EC7957"/>
    <w:rsid w:val="00ED05EE"/>
    <w:rsid w:val="00F036B6"/>
    <w:rsid w:val="00F34BFC"/>
    <w:rsid w:val="00F46887"/>
    <w:rsid w:val="00F529BF"/>
    <w:rsid w:val="00F65C7E"/>
    <w:rsid w:val="00F66370"/>
    <w:rsid w:val="00F86EDE"/>
    <w:rsid w:val="00F97490"/>
    <w:rsid w:val="00F97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7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7975A5"/>
    <w:pPr>
      <w:ind w:left="720"/>
      <w:contextualSpacing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D5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56A0"/>
  </w:style>
  <w:style w:type="paragraph" w:styleId="a7">
    <w:name w:val="footer"/>
    <w:basedOn w:val="a"/>
    <w:link w:val="a8"/>
    <w:uiPriority w:val="99"/>
    <w:unhideWhenUsed/>
    <w:rsid w:val="002D5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56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5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A457C0-6F4B-4B3A-B26A-5BA992F8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6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kalinkina_ea</dc:creator>
  <cp:keywords/>
  <dc:description/>
  <cp:lastModifiedBy>kalinkina_ea</cp:lastModifiedBy>
  <cp:revision>92</cp:revision>
  <cp:lastPrinted>2017-02-22T09:46:00Z</cp:lastPrinted>
  <dcterms:created xsi:type="dcterms:W3CDTF">2016-10-07T06:13:00Z</dcterms:created>
  <dcterms:modified xsi:type="dcterms:W3CDTF">2017-02-22T09:46:00Z</dcterms:modified>
</cp:coreProperties>
</file>